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33120" w14:textId="04464373" w:rsidR="00E47FC1" w:rsidRPr="00357F75" w:rsidRDefault="00E47FC1" w:rsidP="00E47FC1">
      <w:pPr>
        <w:spacing w:after="120"/>
        <w:jc w:val="both"/>
        <w:outlineLvl w:val="2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</w:pPr>
      <w:r w:rsidRPr="00357F75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>Fettsäureprofil im Schweinefleisch – Abhängig von der Futtermittelzusammensetzung</w:t>
      </w:r>
    </w:p>
    <w:p w14:paraId="5E99CEB4" w14:textId="295C34A5" w:rsidR="00193FBA" w:rsidRPr="00357F75" w:rsidRDefault="00193FBA" w:rsidP="00193FBA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57F75">
        <w:rPr>
          <w:rFonts w:ascii="Arial" w:hAnsi="Arial" w:cs="Arial"/>
          <w:noProof/>
          <w:color w:val="000000" w:themeColor="text1"/>
          <w:sz w:val="22"/>
          <w:szCs w:val="22"/>
        </w:rPr>
        <w:drawing>
          <wp:inline distT="0" distB="0" distL="0" distR="0" wp14:anchorId="1E8365A4" wp14:editId="3180BC40">
            <wp:extent cx="428017" cy="428017"/>
            <wp:effectExtent l="0" t="0" r="3810" b="3810"/>
            <wp:docPr id="68251994" name="Grafik 3" descr="Ein Bild, das Schwarz, Dunkelhei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51994" name="Grafik 3" descr="Ein Bild, das Schwarz, Dunkelheit enthält.&#10;&#10;KI-generierte Inhalte können fehlerhaft sein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576" cy="435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7F75">
        <w:rPr>
          <w:rFonts w:ascii="Arial" w:hAnsi="Arial" w:cs="Arial"/>
          <w:color w:val="000000" w:themeColor="text1"/>
          <w:sz w:val="22"/>
          <w:szCs w:val="22"/>
        </w:rPr>
        <w:t>Aufgaben</w:t>
      </w:r>
      <w:r w:rsidRPr="00357F75">
        <w:rPr>
          <w:rFonts w:ascii="Arial" w:hAnsi="Arial" w:cs="Arial"/>
          <w:color w:val="000000" w:themeColor="text1"/>
          <w:sz w:val="22"/>
          <w:szCs w:val="22"/>
        </w:rPr>
        <w:tab/>
        <w:t xml:space="preserve"> </w:t>
      </w:r>
      <w:r w:rsidRPr="00357F75">
        <w:rPr>
          <w:rFonts w:ascii="Arial" w:hAnsi="Arial" w:cs="Arial"/>
          <w:color w:val="000000" w:themeColor="text1"/>
          <w:sz w:val="22"/>
          <w:szCs w:val="22"/>
        </w:rPr>
        <w:tab/>
        <w:t xml:space="preserve">  </w:t>
      </w:r>
      <w:r w:rsidRPr="00357F75">
        <w:rPr>
          <w:rFonts w:ascii="Arial" w:hAnsi="Arial" w:cs="Arial"/>
          <w:noProof/>
          <w:color w:val="000000" w:themeColor="text1"/>
          <w:sz w:val="22"/>
          <w:szCs w:val="22"/>
        </w:rPr>
        <w:drawing>
          <wp:inline distT="0" distB="0" distL="0" distR="0" wp14:anchorId="39F53D1B" wp14:editId="63CFAF30">
            <wp:extent cx="354637" cy="369651"/>
            <wp:effectExtent l="0" t="0" r="1270" b="0"/>
            <wp:docPr id="444765531" name="Grafik 1" descr="Ein Bild, das Kreis, Schwarz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765531" name="Grafik 1" descr="Ein Bild, das Kreis, Schwarz enthält.&#10;&#10;KI-generierte Inhalte können fehlerhaft sein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851" cy="384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7F75">
        <w:rPr>
          <w:rFonts w:ascii="Arial" w:hAnsi="Arial" w:cs="Arial"/>
          <w:color w:val="000000" w:themeColor="text1"/>
          <w:sz w:val="22"/>
          <w:szCs w:val="22"/>
        </w:rPr>
        <w:t xml:space="preserve"> Einzelarbeit</w:t>
      </w:r>
      <w:r w:rsidRPr="00357F75">
        <w:rPr>
          <w:rFonts w:ascii="Arial" w:hAnsi="Arial" w:cs="Arial"/>
          <w:color w:val="000000" w:themeColor="text1"/>
          <w:sz w:val="22"/>
          <w:szCs w:val="22"/>
        </w:rPr>
        <w:tab/>
      </w:r>
      <w:r w:rsidRPr="00357F75">
        <w:rPr>
          <w:rFonts w:ascii="Arial" w:hAnsi="Arial" w:cs="Arial"/>
          <w:color w:val="000000" w:themeColor="text1"/>
          <w:sz w:val="22"/>
          <w:szCs w:val="22"/>
        </w:rPr>
        <w:tab/>
      </w:r>
      <w:r w:rsidR="00E87C0C" w:rsidRPr="00357F75">
        <w:rPr>
          <w:rFonts w:ascii="Arial" w:hAnsi="Arial" w:cs="Arial"/>
          <w:noProof/>
          <w:color w:val="000000" w:themeColor="text1"/>
          <w:sz w:val="22"/>
          <w:szCs w:val="22"/>
        </w:rPr>
        <w:drawing>
          <wp:inline distT="0" distB="0" distL="0" distR="0" wp14:anchorId="515C7588" wp14:editId="426B0745">
            <wp:extent cx="398834" cy="398834"/>
            <wp:effectExtent l="0" t="0" r="0" b="0"/>
            <wp:docPr id="1322801648" name="Grafik 4" descr="Ein Bild, das Symbol, Kreis, Screenshot, Schwarzweiß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2801648" name="Grafik 4" descr="Ein Bild, das Symbol, Kreis, Screenshot, Schwarzweiß enthält.&#10;&#10;KI-generierte Inhalte können fehlerhaft sein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547" cy="405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7F75">
        <w:rPr>
          <w:rFonts w:ascii="Arial" w:hAnsi="Arial" w:cs="Arial"/>
          <w:color w:val="000000" w:themeColor="text1"/>
          <w:sz w:val="22"/>
          <w:szCs w:val="22"/>
        </w:rPr>
        <w:t xml:space="preserve"> 20 Minuten</w:t>
      </w:r>
    </w:p>
    <w:p w14:paraId="641839A8" w14:textId="77777777" w:rsidR="00193FBA" w:rsidRPr="00357F75" w:rsidRDefault="00193FBA" w:rsidP="00E47FC1">
      <w:pPr>
        <w:spacing w:after="12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</w:pPr>
    </w:p>
    <w:p w14:paraId="1E049FCA" w14:textId="047E1DEE" w:rsidR="00193FBA" w:rsidRPr="00357F75" w:rsidRDefault="00E14EC4" w:rsidP="00E14EC4">
      <w:pPr>
        <w:pStyle w:val="Listenabsatz"/>
        <w:numPr>
          <w:ilvl w:val="0"/>
          <w:numId w:val="8"/>
        </w:numPr>
        <w:spacing w:after="12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</w:pPr>
      <w:r w:rsidRPr="00357F75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Beschreiben Sie den Unterschied zwischen SFA, MUFA und PUFA!</w:t>
      </w:r>
    </w:p>
    <w:p w14:paraId="6E8E3BE7" w14:textId="35F20E0E" w:rsidR="00E14EC4" w:rsidRPr="00357F75" w:rsidRDefault="00E14EC4" w:rsidP="00E14EC4">
      <w:pPr>
        <w:pStyle w:val="Listenabsatz"/>
        <w:numPr>
          <w:ilvl w:val="0"/>
          <w:numId w:val="8"/>
        </w:numPr>
        <w:spacing w:after="12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</w:pPr>
      <w:r w:rsidRPr="00357F75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Erklären Sie die Relevanz der Fettsäurezusammensetzung im Futter für die Fleischqualität!</w:t>
      </w:r>
    </w:p>
    <w:p w14:paraId="7738F19B" w14:textId="77777777" w:rsidR="00193FBA" w:rsidRPr="00357F75" w:rsidRDefault="00193FBA" w:rsidP="001A4766">
      <w:pPr>
        <w:pBdr>
          <w:bottom w:val="single" w:sz="4" w:space="1" w:color="auto"/>
        </w:pBdr>
        <w:spacing w:after="12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</w:pPr>
    </w:p>
    <w:p w14:paraId="3B00911C" w14:textId="3272BFE8" w:rsidR="00E47FC1" w:rsidRPr="00357F75" w:rsidRDefault="00E47FC1" w:rsidP="00E47FC1">
      <w:pPr>
        <w:spacing w:after="12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</w:pPr>
      <w:r w:rsidRPr="00357F75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Das Fettsäureprofil beschreibt die Art und Menge der verschiedenen Fettsäuren im Fettgewebe und im intramuskulären Fett (also dem „Marmorierungsfett“) des Schweins. Dabei unterscheidet man:</w:t>
      </w:r>
    </w:p>
    <w:p w14:paraId="1FCBBC03" w14:textId="77777777" w:rsidR="00E47FC1" w:rsidRPr="00357F75" w:rsidRDefault="00E47FC1" w:rsidP="00E47FC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</w:pPr>
      <w:r w:rsidRPr="00357F75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Gesättigte Fettsäuren (SFA)</w:t>
      </w:r>
    </w:p>
    <w:p w14:paraId="65F87496" w14:textId="77777777" w:rsidR="00E47FC1" w:rsidRPr="00357F75" w:rsidRDefault="00E47FC1" w:rsidP="00E47FC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</w:pPr>
      <w:r w:rsidRPr="00357F75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Einfach ungesättigte Fettsäuren (MUFA)</w:t>
      </w:r>
    </w:p>
    <w:p w14:paraId="079D92DC" w14:textId="77777777" w:rsidR="00E47FC1" w:rsidRPr="00357F75" w:rsidRDefault="00E47FC1" w:rsidP="00E47FC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</w:pPr>
      <w:r w:rsidRPr="00357F75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Mehrfach ungesättigte Fettsäuren (PUFA), darunter vor allem Omega-6 und Omega-3-Fettsäuren</w:t>
      </w:r>
    </w:p>
    <w:p w14:paraId="4317B8C5" w14:textId="024CF78D" w:rsidR="00E47FC1" w:rsidRPr="00357F75" w:rsidRDefault="00E47FC1" w:rsidP="00E47FC1">
      <w:pPr>
        <w:spacing w:after="12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</w:pPr>
      <w:r w:rsidRPr="00357F75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Da Schweine als Monogastrier die im Futter enthaltenen Fettsäuren weitgehend unverändert ins Körperfett einlagern, hat die Art des Futters einen direkten Einfluss auf das Fettsäuremuster im Fleisch.</w:t>
      </w:r>
    </w:p>
    <w:p w14:paraId="0DF5E7AA" w14:textId="77777777" w:rsidR="00F66537" w:rsidRPr="00357F75" w:rsidRDefault="00F66537" w:rsidP="00F66537">
      <w:pPr>
        <w:spacing w:after="12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</w:pPr>
      <w:r w:rsidRPr="00357F75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Konkret heißt das:</w:t>
      </w:r>
    </w:p>
    <w:p w14:paraId="2DC515EA" w14:textId="77777777" w:rsidR="00F66537" w:rsidRPr="00357F75" w:rsidRDefault="00F66537" w:rsidP="00F66537">
      <w:pPr>
        <w:spacing w:after="12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</w:pPr>
      <w:r w:rsidRPr="00357F75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Enthält das Futter viel Linolsäure (eine Omega-6-Fettsäure, z. B. aus Sojaöl oder Mais), wird diese verstärkt im Fettgewebe eingelagert → das Fleisch enthält mehr Omega-6.</w:t>
      </w:r>
    </w:p>
    <w:p w14:paraId="7CE66B79" w14:textId="77777777" w:rsidR="00F66537" w:rsidRPr="00357F75" w:rsidRDefault="00F66537" w:rsidP="00F66537">
      <w:pPr>
        <w:spacing w:after="12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</w:pPr>
      <w:r w:rsidRPr="00357F75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Wird das Futter mit Leinsamen, Rapsprodukten oder Algenmehl ergänzt, steigt der Anteil an Alpha-Linolensäure (Omega-3-Fettsäure) → das Fleisch wird "omega-3-reicher".</w:t>
      </w:r>
    </w:p>
    <w:p w14:paraId="721633AE" w14:textId="2EB60D60" w:rsidR="00F66537" w:rsidRPr="00357F75" w:rsidRDefault="00F66537" w:rsidP="00F66537">
      <w:pPr>
        <w:spacing w:after="12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</w:pPr>
      <w:r w:rsidRPr="00357F75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Auch das Verhältnis von Omega-6 zu Omega-3, das ein wichtiger gesundheitlicher Indikator ist, verbessert sich durch gezielte Fütterung.</w:t>
      </w:r>
    </w:p>
    <w:p w14:paraId="573DF666" w14:textId="77777777" w:rsidR="00AF51D2" w:rsidRPr="00357F75" w:rsidRDefault="00AF51D2" w:rsidP="00AF51D2">
      <w:pPr>
        <w:spacing w:after="12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</w:pPr>
      <w:r w:rsidRPr="00357F75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Für den Verbraucher ist ein Fleisch mit einem ausgewogenen Omega-</w:t>
      </w:r>
      <w:proofErr w:type="gramStart"/>
      <w:r w:rsidRPr="00357F75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6:Omega</w:t>
      </w:r>
      <w:proofErr w:type="gramEnd"/>
      <w:r w:rsidRPr="00357F75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-3-Verhältnis gesünder.</w:t>
      </w:r>
    </w:p>
    <w:p w14:paraId="7F228EC0" w14:textId="77777777" w:rsidR="00AF51D2" w:rsidRPr="00357F75" w:rsidRDefault="00AF51D2" w:rsidP="00AF51D2">
      <w:pPr>
        <w:spacing w:after="12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</w:pPr>
      <w:r w:rsidRPr="00357F75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Für die Landwirtschaft bietet es die Möglichkeit, durch optimierte Fütterung den Fleischwert zu steigern und gesundheitsbewusste Märkte zu bedienen.</w:t>
      </w:r>
    </w:p>
    <w:p w14:paraId="1112A0CF" w14:textId="29A1E603" w:rsidR="005C63F3" w:rsidRPr="00357F75" w:rsidRDefault="00AF51D2" w:rsidP="00AF51D2">
      <w:pPr>
        <w:spacing w:after="12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</w:pPr>
      <w:r w:rsidRPr="00357F75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t>Es ist zudem ein Ansatz für Tierwohl- und Nachhaltigkeitsprogramme, die das gesamte Produktionssystem bewerten.</w:t>
      </w:r>
      <w:r w:rsidR="005C63F3" w:rsidRPr="00357F75">
        <w:rPr>
          <w:rFonts w:ascii="Arial" w:eastAsia="Times New Roman" w:hAnsi="Arial" w:cs="Arial"/>
          <w:color w:val="000000"/>
          <w:kern w:val="0"/>
          <w:sz w:val="22"/>
          <w:szCs w:val="22"/>
          <w:lang w:eastAsia="de-DE"/>
          <w14:ligatures w14:val="none"/>
        </w:rPr>
        <w:br w:type="page"/>
      </w:r>
    </w:p>
    <w:p w14:paraId="34DF80DC" w14:textId="645A52BC" w:rsidR="00F55343" w:rsidRPr="00357F75" w:rsidRDefault="00F55343" w:rsidP="00F55343">
      <w:pPr>
        <w:rPr>
          <w:rFonts w:ascii="Arial" w:hAnsi="Arial" w:cs="Arial"/>
          <w:b/>
          <w:bCs/>
          <w:sz w:val="22"/>
          <w:szCs w:val="22"/>
          <w:lang w:eastAsia="de-DE"/>
        </w:rPr>
      </w:pPr>
      <w:r w:rsidRPr="00357F75">
        <w:rPr>
          <w:rFonts w:ascii="Arial" w:hAnsi="Arial" w:cs="Arial"/>
          <w:b/>
          <w:bCs/>
          <w:sz w:val="22"/>
          <w:szCs w:val="22"/>
          <w:lang w:eastAsia="de-DE"/>
        </w:rPr>
        <w:lastRenderedPageBreak/>
        <w:t>Fettsäureprofil typischer Getreide- und Eiweißfuttermittel (Durchschnittswerte in % der Gesamtfettmenge)</w:t>
      </w:r>
    </w:p>
    <w:tbl>
      <w:tblPr>
        <w:tblStyle w:val="EinfacheTabelle2"/>
        <w:tblW w:w="0" w:type="auto"/>
        <w:tblLayout w:type="fixed"/>
        <w:tblLook w:val="04A0" w:firstRow="1" w:lastRow="0" w:firstColumn="1" w:lastColumn="0" w:noHBand="0" w:noVBand="1"/>
      </w:tblPr>
      <w:tblGrid>
        <w:gridCol w:w="1798"/>
        <w:gridCol w:w="1179"/>
        <w:gridCol w:w="1276"/>
        <w:gridCol w:w="1276"/>
        <w:gridCol w:w="1275"/>
        <w:gridCol w:w="1261"/>
        <w:gridCol w:w="1332"/>
      </w:tblGrid>
      <w:tr w:rsidR="00337497" w:rsidRPr="001F7B2F" w14:paraId="21A6993F" w14:textId="77777777" w:rsidTr="009167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hideMark/>
          </w:tcPr>
          <w:p w14:paraId="7D5F482B" w14:textId="77777777" w:rsidR="00F55343" w:rsidRPr="001F7B2F" w:rsidRDefault="00F55343" w:rsidP="00F55343">
            <w:pPr>
              <w:rPr>
                <w:rFonts w:ascii="Arial" w:hAnsi="Arial" w:cs="Arial"/>
                <w:b w:val="0"/>
                <w:bCs w:val="0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Futterkomponente</w:t>
            </w:r>
          </w:p>
        </w:tc>
        <w:tc>
          <w:tcPr>
            <w:tcW w:w="1179" w:type="dxa"/>
            <w:hideMark/>
          </w:tcPr>
          <w:p w14:paraId="4B608811" w14:textId="77777777" w:rsidR="00F55343" w:rsidRPr="001F7B2F" w:rsidRDefault="00F55343" w:rsidP="00F553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SFA (%)</w:t>
            </w:r>
          </w:p>
        </w:tc>
        <w:tc>
          <w:tcPr>
            <w:tcW w:w="1276" w:type="dxa"/>
            <w:hideMark/>
          </w:tcPr>
          <w:p w14:paraId="5150C3F9" w14:textId="77777777" w:rsidR="00F55343" w:rsidRPr="001F7B2F" w:rsidRDefault="00F55343" w:rsidP="00F553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MUFA (%)</w:t>
            </w:r>
          </w:p>
        </w:tc>
        <w:tc>
          <w:tcPr>
            <w:tcW w:w="1276" w:type="dxa"/>
            <w:hideMark/>
          </w:tcPr>
          <w:p w14:paraId="227B1275" w14:textId="77777777" w:rsidR="00F55343" w:rsidRPr="001F7B2F" w:rsidRDefault="00F55343" w:rsidP="00F553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PUFA (%)</w:t>
            </w:r>
          </w:p>
        </w:tc>
        <w:tc>
          <w:tcPr>
            <w:tcW w:w="1275" w:type="dxa"/>
            <w:hideMark/>
          </w:tcPr>
          <w:p w14:paraId="667FD4AA" w14:textId="77777777" w:rsidR="00F55343" w:rsidRPr="001F7B2F" w:rsidRDefault="00F55343" w:rsidP="00F553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Omega-6 (%)</w:t>
            </w:r>
          </w:p>
        </w:tc>
        <w:tc>
          <w:tcPr>
            <w:tcW w:w="1261" w:type="dxa"/>
            <w:hideMark/>
          </w:tcPr>
          <w:p w14:paraId="510E6682" w14:textId="77777777" w:rsidR="00F55343" w:rsidRPr="001F7B2F" w:rsidRDefault="00F55343" w:rsidP="00F553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Omega-3 (%)</w:t>
            </w:r>
          </w:p>
        </w:tc>
        <w:tc>
          <w:tcPr>
            <w:tcW w:w="1332" w:type="dxa"/>
            <w:hideMark/>
          </w:tcPr>
          <w:p w14:paraId="307F6085" w14:textId="77777777" w:rsidR="00F55343" w:rsidRPr="001F7B2F" w:rsidRDefault="00F55343" w:rsidP="00F553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Quelle(n)</w:t>
            </w:r>
          </w:p>
        </w:tc>
      </w:tr>
      <w:tr w:rsidR="00337497" w:rsidRPr="001F7B2F" w14:paraId="136DA3E4" w14:textId="77777777" w:rsidTr="00916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hideMark/>
          </w:tcPr>
          <w:p w14:paraId="0F51D1F1" w14:textId="77777777" w:rsidR="00F55343" w:rsidRPr="001F7B2F" w:rsidRDefault="00F55343" w:rsidP="00F55343">
            <w:pPr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Mais (Korn)</w:t>
            </w:r>
          </w:p>
        </w:tc>
        <w:tc>
          <w:tcPr>
            <w:tcW w:w="1179" w:type="dxa"/>
            <w:hideMark/>
          </w:tcPr>
          <w:p w14:paraId="50EFCC0A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15–20</w:t>
            </w:r>
          </w:p>
        </w:tc>
        <w:tc>
          <w:tcPr>
            <w:tcW w:w="1276" w:type="dxa"/>
            <w:hideMark/>
          </w:tcPr>
          <w:p w14:paraId="1A736C09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25–30</w:t>
            </w:r>
          </w:p>
        </w:tc>
        <w:tc>
          <w:tcPr>
            <w:tcW w:w="1276" w:type="dxa"/>
            <w:hideMark/>
          </w:tcPr>
          <w:p w14:paraId="590444EC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50–60</w:t>
            </w:r>
          </w:p>
        </w:tc>
        <w:tc>
          <w:tcPr>
            <w:tcW w:w="1275" w:type="dxa"/>
            <w:hideMark/>
          </w:tcPr>
          <w:p w14:paraId="13D4FFA8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48–55 (v. a. Linolsäure)</w:t>
            </w:r>
          </w:p>
        </w:tc>
        <w:tc>
          <w:tcPr>
            <w:tcW w:w="1261" w:type="dxa"/>
            <w:hideMark/>
          </w:tcPr>
          <w:p w14:paraId="6D60956A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1–2</w:t>
            </w:r>
          </w:p>
        </w:tc>
        <w:tc>
          <w:tcPr>
            <w:tcW w:w="1332" w:type="dxa"/>
            <w:hideMark/>
          </w:tcPr>
          <w:p w14:paraId="2D50E4FE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proofErr w:type="spellStart"/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Feedipedia</w:t>
            </w:r>
            <w:proofErr w:type="spellEnd"/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, DLG</w:t>
            </w:r>
          </w:p>
        </w:tc>
      </w:tr>
      <w:tr w:rsidR="00A245C7" w:rsidRPr="001F7B2F" w14:paraId="52F0E254" w14:textId="77777777" w:rsidTr="0091671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hideMark/>
          </w:tcPr>
          <w:p w14:paraId="70351D78" w14:textId="77777777" w:rsidR="00F55343" w:rsidRPr="001F7B2F" w:rsidRDefault="00F55343" w:rsidP="00F55343">
            <w:pPr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Weizen (Korn)</w:t>
            </w:r>
          </w:p>
        </w:tc>
        <w:tc>
          <w:tcPr>
            <w:tcW w:w="1179" w:type="dxa"/>
            <w:hideMark/>
          </w:tcPr>
          <w:p w14:paraId="40B874E9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20–22</w:t>
            </w:r>
          </w:p>
        </w:tc>
        <w:tc>
          <w:tcPr>
            <w:tcW w:w="1276" w:type="dxa"/>
            <w:hideMark/>
          </w:tcPr>
          <w:p w14:paraId="7F69F345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18–20</w:t>
            </w:r>
          </w:p>
        </w:tc>
        <w:tc>
          <w:tcPr>
            <w:tcW w:w="1276" w:type="dxa"/>
            <w:hideMark/>
          </w:tcPr>
          <w:p w14:paraId="1EA69C19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55–60</w:t>
            </w:r>
          </w:p>
        </w:tc>
        <w:tc>
          <w:tcPr>
            <w:tcW w:w="1275" w:type="dxa"/>
            <w:hideMark/>
          </w:tcPr>
          <w:p w14:paraId="78BF327C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50–54</w:t>
            </w:r>
          </w:p>
        </w:tc>
        <w:tc>
          <w:tcPr>
            <w:tcW w:w="1261" w:type="dxa"/>
            <w:hideMark/>
          </w:tcPr>
          <w:p w14:paraId="5A00C338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2–3</w:t>
            </w:r>
          </w:p>
        </w:tc>
        <w:tc>
          <w:tcPr>
            <w:tcW w:w="1332" w:type="dxa"/>
            <w:hideMark/>
          </w:tcPr>
          <w:p w14:paraId="6A4E2511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proofErr w:type="spellStart"/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Feedipedia</w:t>
            </w:r>
            <w:proofErr w:type="spellEnd"/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, DLG</w:t>
            </w:r>
          </w:p>
        </w:tc>
      </w:tr>
      <w:tr w:rsidR="00337497" w:rsidRPr="001F7B2F" w14:paraId="681CE97C" w14:textId="77777777" w:rsidTr="00916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hideMark/>
          </w:tcPr>
          <w:p w14:paraId="7E279298" w14:textId="77777777" w:rsidR="00F55343" w:rsidRPr="001F7B2F" w:rsidRDefault="00F55343" w:rsidP="00F55343">
            <w:pPr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Gerste (Korn)</w:t>
            </w:r>
          </w:p>
        </w:tc>
        <w:tc>
          <w:tcPr>
            <w:tcW w:w="1179" w:type="dxa"/>
            <w:hideMark/>
          </w:tcPr>
          <w:p w14:paraId="4F2FC881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20–24</w:t>
            </w:r>
          </w:p>
        </w:tc>
        <w:tc>
          <w:tcPr>
            <w:tcW w:w="1276" w:type="dxa"/>
            <w:hideMark/>
          </w:tcPr>
          <w:p w14:paraId="772BDD4B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18–22</w:t>
            </w:r>
          </w:p>
        </w:tc>
        <w:tc>
          <w:tcPr>
            <w:tcW w:w="1276" w:type="dxa"/>
            <w:hideMark/>
          </w:tcPr>
          <w:p w14:paraId="68D57DAE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50–55</w:t>
            </w:r>
          </w:p>
        </w:tc>
        <w:tc>
          <w:tcPr>
            <w:tcW w:w="1275" w:type="dxa"/>
            <w:hideMark/>
          </w:tcPr>
          <w:p w14:paraId="61436A94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45–50</w:t>
            </w:r>
          </w:p>
        </w:tc>
        <w:tc>
          <w:tcPr>
            <w:tcW w:w="1261" w:type="dxa"/>
            <w:hideMark/>
          </w:tcPr>
          <w:p w14:paraId="725C9EF5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3–5</w:t>
            </w:r>
          </w:p>
        </w:tc>
        <w:tc>
          <w:tcPr>
            <w:tcW w:w="1332" w:type="dxa"/>
            <w:hideMark/>
          </w:tcPr>
          <w:p w14:paraId="664B0C1F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proofErr w:type="spellStart"/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Feedipedia</w:t>
            </w:r>
            <w:proofErr w:type="spellEnd"/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 xml:space="preserve">, </w:t>
            </w:r>
            <w:proofErr w:type="spellStart"/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Rodehutscord</w:t>
            </w:r>
            <w:proofErr w:type="spellEnd"/>
          </w:p>
        </w:tc>
      </w:tr>
      <w:tr w:rsidR="00A245C7" w:rsidRPr="001F7B2F" w14:paraId="58C4D8F5" w14:textId="77777777" w:rsidTr="0091671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hideMark/>
          </w:tcPr>
          <w:p w14:paraId="38362D4A" w14:textId="77777777" w:rsidR="00F55343" w:rsidRPr="001F7B2F" w:rsidRDefault="00F55343" w:rsidP="00F55343">
            <w:pPr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Triticale (Korn)</w:t>
            </w:r>
          </w:p>
        </w:tc>
        <w:tc>
          <w:tcPr>
            <w:tcW w:w="1179" w:type="dxa"/>
            <w:hideMark/>
          </w:tcPr>
          <w:p w14:paraId="1174314C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20–23</w:t>
            </w:r>
          </w:p>
        </w:tc>
        <w:tc>
          <w:tcPr>
            <w:tcW w:w="1276" w:type="dxa"/>
            <w:hideMark/>
          </w:tcPr>
          <w:p w14:paraId="3193FA0A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19–21</w:t>
            </w:r>
          </w:p>
        </w:tc>
        <w:tc>
          <w:tcPr>
            <w:tcW w:w="1276" w:type="dxa"/>
            <w:hideMark/>
          </w:tcPr>
          <w:p w14:paraId="14EC2BC6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52–56</w:t>
            </w:r>
          </w:p>
        </w:tc>
        <w:tc>
          <w:tcPr>
            <w:tcW w:w="1275" w:type="dxa"/>
            <w:hideMark/>
          </w:tcPr>
          <w:p w14:paraId="4358121D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48–52</w:t>
            </w:r>
          </w:p>
        </w:tc>
        <w:tc>
          <w:tcPr>
            <w:tcW w:w="1261" w:type="dxa"/>
            <w:hideMark/>
          </w:tcPr>
          <w:p w14:paraId="24BBAB71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2–4</w:t>
            </w:r>
          </w:p>
        </w:tc>
        <w:tc>
          <w:tcPr>
            <w:tcW w:w="1332" w:type="dxa"/>
            <w:hideMark/>
          </w:tcPr>
          <w:p w14:paraId="4EACDDC6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proofErr w:type="spellStart"/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Feedipedia</w:t>
            </w:r>
            <w:proofErr w:type="spellEnd"/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, DLG-Futterwerttabellen</w:t>
            </w:r>
          </w:p>
        </w:tc>
      </w:tr>
      <w:tr w:rsidR="00337497" w:rsidRPr="001F7B2F" w14:paraId="00D756FA" w14:textId="77777777" w:rsidTr="00916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hideMark/>
          </w:tcPr>
          <w:p w14:paraId="12C41BA7" w14:textId="77777777" w:rsidR="00F55343" w:rsidRPr="001F7B2F" w:rsidRDefault="00F55343" w:rsidP="00F55343">
            <w:pPr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Sojabohne (ganz)</w:t>
            </w:r>
          </w:p>
        </w:tc>
        <w:tc>
          <w:tcPr>
            <w:tcW w:w="1179" w:type="dxa"/>
            <w:hideMark/>
          </w:tcPr>
          <w:p w14:paraId="086597AF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15</w:t>
            </w:r>
          </w:p>
        </w:tc>
        <w:tc>
          <w:tcPr>
            <w:tcW w:w="1276" w:type="dxa"/>
            <w:hideMark/>
          </w:tcPr>
          <w:p w14:paraId="3C78C906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20–22</w:t>
            </w:r>
          </w:p>
        </w:tc>
        <w:tc>
          <w:tcPr>
            <w:tcW w:w="1276" w:type="dxa"/>
            <w:hideMark/>
          </w:tcPr>
          <w:p w14:paraId="00C4CAB8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60–65</w:t>
            </w:r>
          </w:p>
        </w:tc>
        <w:tc>
          <w:tcPr>
            <w:tcW w:w="1275" w:type="dxa"/>
            <w:hideMark/>
          </w:tcPr>
          <w:p w14:paraId="18A198AA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55–60 (viel Linolsäure)</w:t>
            </w:r>
          </w:p>
        </w:tc>
        <w:tc>
          <w:tcPr>
            <w:tcW w:w="1261" w:type="dxa"/>
            <w:hideMark/>
          </w:tcPr>
          <w:p w14:paraId="0A6A5E7F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6–9</w:t>
            </w:r>
          </w:p>
        </w:tc>
        <w:tc>
          <w:tcPr>
            <w:tcW w:w="1332" w:type="dxa"/>
            <w:hideMark/>
          </w:tcPr>
          <w:p w14:paraId="2DB7D79C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proofErr w:type="spellStart"/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Feedipedia</w:t>
            </w:r>
            <w:proofErr w:type="spellEnd"/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, NRC (2012), DLG</w:t>
            </w:r>
          </w:p>
        </w:tc>
      </w:tr>
      <w:tr w:rsidR="00A245C7" w:rsidRPr="001F7B2F" w14:paraId="018DB303" w14:textId="77777777" w:rsidTr="0091671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hideMark/>
          </w:tcPr>
          <w:p w14:paraId="603061BD" w14:textId="77777777" w:rsidR="00F55343" w:rsidRPr="001F7B2F" w:rsidRDefault="00F55343" w:rsidP="00F55343">
            <w:pPr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Sojaschrot (extrahiert)</w:t>
            </w:r>
          </w:p>
        </w:tc>
        <w:tc>
          <w:tcPr>
            <w:tcW w:w="1179" w:type="dxa"/>
            <w:hideMark/>
          </w:tcPr>
          <w:p w14:paraId="3B227899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17–20</w:t>
            </w:r>
          </w:p>
        </w:tc>
        <w:tc>
          <w:tcPr>
            <w:tcW w:w="1276" w:type="dxa"/>
            <w:hideMark/>
          </w:tcPr>
          <w:p w14:paraId="3479669D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18–20</w:t>
            </w:r>
          </w:p>
        </w:tc>
        <w:tc>
          <w:tcPr>
            <w:tcW w:w="1276" w:type="dxa"/>
            <w:hideMark/>
          </w:tcPr>
          <w:p w14:paraId="3062777E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55–60</w:t>
            </w:r>
          </w:p>
        </w:tc>
        <w:tc>
          <w:tcPr>
            <w:tcW w:w="1275" w:type="dxa"/>
            <w:hideMark/>
          </w:tcPr>
          <w:p w14:paraId="4C8EEA2D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50–55</w:t>
            </w:r>
          </w:p>
        </w:tc>
        <w:tc>
          <w:tcPr>
            <w:tcW w:w="1261" w:type="dxa"/>
            <w:hideMark/>
          </w:tcPr>
          <w:p w14:paraId="21BA8C2D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5–8</w:t>
            </w:r>
          </w:p>
        </w:tc>
        <w:tc>
          <w:tcPr>
            <w:tcW w:w="1332" w:type="dxa"/>
            <w:hideMark/>
          </w:tcPr>
          <w:p w14:paraId="0CA06D4C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DLG, NRC</w:t>
            </w:r>
          </w:p>
        </w:tc>
      </w:tr>
      <w:tr w:rsidR="00337497" w:rsidRPr="001F7B2F" w14:paraId="79279E32" w14:textId="77777777" w:rsidTr="00916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hideMark/>
          </w:tcPr>
          <w:p w14:paraId="3419289F" w14:textId="77777777" w:rsidR="00F55343" w:rsidRPr="001F7B2F" w:rsidRDefault="00F55343" w:rsidP="00F55343">
            <w:pPr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Rapskuchen (</w:t>
            </w:r>
            <w:proofErr w:type="spellStart"/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expelliert</w:t>
            </w:r>
            <w:proofErr w:type="spellEnd"/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)</w:t>
            </w:r>
          </w:p>
        </w:tc>
        <w:tc>
          <w:tcPr>
            <w:tcW w:w="1179" w:type="dxa"/>
            <w:hideMark/>
          </w:tcPr>
          <w:p w14:paraId="44382DE2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10–12</w:t>
            </w:r>
          </w:p>
        </w:tc>
        <w:tc>
          <w:tcPr>
            <w:tcW w:w="1276" w:type="dxa"/>
            <w:hideMark/>
          </w:tcPr>
          <w:p w14:paraId="3A451F71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50–55</w:t>
            </w:r>
          </w:p>
        </w:tc>
        <w:tc>
          <w:tcPr>
            <w:tcW w:w="1276" w:type="dxa"/>
            <w:hideMark/>
          </w:tcPr>
          <w:p w14:paraId="08D3F63D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30–35</w:t>
            </w:r>
          </w:p>
        </w:tc>
        <w:tc>
          <w:tcPr>
            <w:tcW w:w="1275" w:type="dxa"/>
            <w:hideMark/>
          </w:tcPr>
          <w:p w14:paraId="469A40E0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20–25</w:t>
            </w:r>
          </w:p>
        </w:tc>
        <w:tc>
          <w:tcPr>
            <w:tcW w:w="1261" w:type="dxa"/>
            <w:hideMark/>
          </w:tcPr>
          <w:p w14:paraId="26B7AC7D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10–15</w:t>
            </w:r>
          </w:p>
        </w:tc>
        <w:tc>
          <w:tcPr>
            <w:tcW w:w="1332" w:type="dxa"/>
            <w:hideMark/>
          </w:tcPr>
          <w:p w14:paraId="6F610C74" w14:textId="77777777" w:rsidR="00F55343" w:rsidRPr="001F7B2F" w:rsidRDefault="00F55343" w:rsidP="00F55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proofErr w:type="spellStart"/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Feedipedia</w:t>
            </w:r>
            <w:proofErr w:type="spellEnd"/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, DLG, Wood et al. (2008)</w:t>
            </w:r>
          </w:p>
        </w:tc>
      </w:tr>
      <w:tr w:rsidR="00A245C7" w:rsidRPr="001F7B2F" w14:paraId="6D09A58F" w14:textId="77777777" w:rsidTr="0091671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hideMark/>
          </w:tcPr>
          <w:p w14:paraId="7FECDF1E" w14:textId="77777777" w:rsidR="00F55343" w:rsidRPr="001F7B2F" w:rsidRDefault="00F55343" w:rsidP="00F55343">
            <w:pPr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Rapsöl</w:t>
            </w:r>
          </w:p>
        </w:tc>
        <w:tc>
          <w:tcPr>
            <w:tcW w:w="1179" w:type="dxa"/>
            <w:hideMark/>
          </w:tcPr>
          <w:p w14:paraId="3D3884F3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7</w:t>
            </w:r>
          </w:p>
        </w:tc>
        <w:tc>
          <w:tcPr>
            <w:tcW w:w="1276" w:type="dxa"/>
            <w:hideMark/>
          </w:tcPr>
          <w:p w14:paraId="3C512C47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60</w:t>
            </w:r>
          </w:p>
        </w:tc>
        <w:tc>
          <w:tcPr>
            <w:tcW w:w="1276" w:type="dxa"/>
            <w:hideMark/>
          </w:tcPr>
          <w:p w14:paraId="111C7D02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ca. 30–33</w:t>
            </w:r>
          </w:p>
        </w:tc>
        <w:tc>
          <w:tcPr>
            <w:tcW w:w="1275" w:type="dxa"/>
            <w:hideMark/>
          </w:tcPr>
          <w:p w14:paraId="0CF467B5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18–20</w:t>
            </w:r>
          </w:p>
        </w:tc>
        <w:tc>
          <w:tcPr>
            <w:tcW w:w="1261" w:type="dxa"/>
            <w:hideMark/>
          </w:tcPr>
          <w:p w14:paraId="173B4427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10–12</w:t>
            </w:r>
          </w:p>
        </w:tc>
        <w:tc>
          <w:tcPr>
            <w:tcW w:w="1332" w:type="dxa"/>
            <w:hideMark/>
          </w:tcPr>
          <w:p w14:paraId="57B244E3" w14:textId="77777777" w:rsidR="00F55343" w:rsidRPr="001F7B2F" w:rsidRDefault="00F55343" w:rsidP="00F55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de-DE"/>
              </w:rPr>
            </w:pPr>
            <w:r w:rsidRPr="001F7B2F">
              <w:rPr>
                <w:rFonts w:ascii="Arial" w:hAnsi="Arial" w:cs="Arial"/>
                <w:sz w:val="20"/>
                <w:szCs w:val="20"/>
                <w:lang w:eastAsia="de-DE"/>
              </w:rPr>
              <w:t>DLG, Wood et al., Raes et al.</w:t>
            </w:r>
          </w:p>
        </w:tc>
      </w:tr>
    </w:tbl>
    <w:p w14:paraId="26214AC6" w14:textId="77777777" w:rsidR="00F55343" w:rsidRPr="00357F75" w:rsidRDefault="00120B2E" w:rsidP="00F55343">
      <w:pPr>
        <w:rPr>
          <w:rFonts w:ascii="Arial" w:hAnsi="Arial" w:cs="Arial"/>
          <w:sz w:val="22"/>
          <w:szCs w:val="22"/>
          <w:lang w:eastAsia="de-DE"/>
        </w:rPr>
      </w:pPr>
      <w:r>
        <w:rPr>
          <w:rFonts w:ascii="Arial" w:hAnsi="Arial" w:cs="Arial"/>
          <w:noProof/>
          <w:sz w:val="22"/>
          <w:szCs w:val="22"/>
          <w:lang w:eastAsia="de-DE"/>
        </w:rPr>
        <w:pict w14:anchorId="5F11470C">
          <v:rect id="_x0000_i1025" alt="" style="width:453.6pt;height:.05pt;mso-width-percent:0;mso-height-percent:0;mso-width-percent:0;mso-height-percent:0" o:hralign="center" o:hrstd="t" o:hr="t" fillcolor="#a0a0a0" stroked="f"/>
        </w:pict>
      </w:r>
    </w:p>
    <w:p w14:paraId="663E5017" w14:textId="00EEA5E9" w:rsidR="00F55343" w:rsidRPr="00357F75" w:rsidRDefault="00F55343" w:rsidP="00F55343">
      <w:pPr>
        <w:rPr>
          <w:rFonts w:ascii="Arial" w:hAnsi="Arial" w:cs="Arial"/>
          <w:sz w:val="22"/>
          <w:szCs w:val="22"/>
          <w:lang w:eastAsia="de-DE"/>
        </w:rPr>
      </w:pPr>
      <w:r w:rsidRPr="00357F75">
        <w:rPr>
          <w:rFonts w:ascii="Arial" w:hAnsi="Arial" w:cs="Arial"/>
          <w:sz w:val="22"/>
          <w:szCs w:val="22"/>
          <w:lang w:eastAsia="de-DE"/>
        </w:rPr>
        <w:t>Quellen im Detail:</w:t>
      </w:r>
    </w:p>
    <w:p w14:paraId="7F936B1A" w14:textId="77777777" w:rsidR="00F55343" w:rsidRPr="00357F75" w:rsidRDefault="00F55343" w:rsidP="00F55343">
      <w:pPr>
        <w:numPr>
          <w:ilvl w:val="0"/>
          <w:numId w:val="7"/>
        </w:numPr>
        <w:tabs>
          <w:tab w:val="num" w:pos="720"/>
        </w:tabs>
        <w:rPr>
          <w:rFonts w:ascii="Arial" w:hAnsi="Arial" w:cs="Arial"/>
          <w:sz w:val="22"/>
          <w:szCs w:val="22"/>
          <w:lang w:eastAsia="de-DE"/>
        </w:rPr>
      </w:pPr>
      <w:proofErr w:type="spellStart"/>
      <w:r w:rsidRPr="00357F75">
        <w:rPr>
          <w:rFonts w:ascii="Arial" w:hAnsi="Arial" w:cs="Arial"/>
          <w:sz w:val="22"/>
          <w:szCs w:val="22"/>
          <w:lang w:eastAsia="de-DE"/>
        </w:rPr>
        <w:t>Feedipedia</w:t>
      </w:r>
      <w:proofErr w:type="spellEnd"/>
      <w:r w:rsidRPr="00357F75">
        <w:rPr>
          <w:rFonts w:ascii="Arial" w:hAnsi="Arial" w:cs="Arial"/>
          <w:sz w:val="22"/>
          <w:szCs w:val="22"/>
          <w:lang w:eastAsia="de-DE"/>
        </w:rPr>
        <w:t> – z. B.:</w:t>
      </w:r>
    </w:p>
    <w:p w14:paraId="5580C219" w14:textId="77777777" w:rsidR="00F55343" w:rsidRPr="00357F75" w:rsidRDefault="00F55343" w:rsidP="00F55343">
      <w:pPr>
        <w:numPr>
          <w:ilvl w:val="1"/>
          <w:numId w:val="7"/>
        </w:numPr>
        <w:tabs>
          <w:tab w:val="num" w:pos="1440"/>
        </w:tabs>
        <w:rPr>
          <w:rFonts w:ascii="Arial" w:hAnsi="Arial" w:cs="Arial"/>
          <w:sz w:val="22"/>
          <w:szCs w:val="22"/>
          <w:lang w:eastAsia="de-DE"/>
        </w:rPr>
      </w:pPr>
      <w:r w:rsidRPr="00357F75">
        <w:rPr>
          <w:rFonts w:ascii="Arial" w:hAnsi="Arial" w:cs="Arial"/>
          <w:sz w:val="22"/>
          <w:szCs w:val="22"/>
          <w:lang w:eastAsia="de-DE"/>
        </w:rPr>
        <w:t xml:space="preserve">Corn </w:t>
      </w:r>
      <w:proofErr w:type="spellStart"/>
      <w:r w:rsidRPr="00357F75">
        <w:rPr>
          <w:rFonts w:ascii="Arial" w:hAnsi="Arial" w:cs="Arial"/>
          <w:sz w:val="22"/>
          <w:szCs w:val="22"/>
          <w:lang w:eastAsia="de-DE"/>
        </w:rPr>
        <w:t>grain</w:t>
      </w:r>
      <w:proofErr w:type="spellEnd"/>
      <w:r w:rsidRPr="00357F75">
        <w:rPr>
          <w:rFonts w:ascii="Arial" w:hAnsi="Arial" w:cs="Arial"/>
          <w:sz w:val="22"/>
          <w:szCs w:val="22"/>
          <w:lang w:eastAsia="de-DE"/>
        </w:rPr>
        <w:t xml:space="preserve"> – </w:t>
      </w:r>
      <w:proofErr w:type="spellStart"/>
      <w:r w:rsidRPr="00357F75">
        <w:rPr>
          <w:rFonts w:ascii="Arial" w:hAnsi="Arial" w:cs="Arial"/>
          <w:sz w:val="22"/>
          <w:szCs w:val="22"/>
          <w:lang w:eastAsia="de-DE"/>
        </w:rPr>
        <w:t>Feedipedia</w:t>
      </w:r>
      <w:proofErr w:type="spellEnd"/>
    </w:p>
    <w:p w14:paraId="47A32A73" w14:textId="77777777" w:rsidR="00F55343" w:rsidRPr="00357F75" w:rsidRDefault="00F55343" w:rsidP="00F55343">
      <w:pPr>
        <w:numPr>
          <w:ilvl w:val="1"/>
          <w:numId w:val="7"/>
        </w:numPr>
        <w:tabs>
          <w:tab w:val="num" w:pos="1440"/>
        </w:tabs>
        <w:rPr>
          <w:rFonts w:ascii="Arial" w:hAnsi="Arial" w:cs="Arial"/>
          <w:sz w:val="22"/>
          <w:szCs w:val="22"/>
          <w:lang w:eastAsia="de-DE"/>
        </w:rPr>
      </w:pPr>
      <w:r w:rsidRPr="00357F75">
        <w:rPr>
          <w:rFonts w:ascii="Arial" w:hAnsi="Arial" w:cs="Arial"/>
          <w:sz w:val="22"/>
          <w:szCs w:val="22"/>
          <w:lang w:eastAsia="de-DE"/>
        </w:rPr>
        <w:t xml:space="preserve">Barley </w:t>
      </w:r>
      <w:proofErr w:type="spellStart"/>
      <w:r w:rsidRPr="00357F75">
        <w:rPr>
          <w:rFonts w:ascii="Arial" w:hAnsi="Arial" w:cs="Arial"/>
          <w:sz w:val="22"/>
          <w:szCs w:val="22"/>
          <w:lang w:eastAsia="de-DE"/>
        </w:rPr>
        <w:t>grain</w:t>
      </w:r>
      <w:proofErr w:type="spellEnd"/>
      <w:r w:rsidRPr="00357F75">
        <w:rPr>
          <w:rFonts w:ascii="Arial" w:hAnsi="Arial" w:cs="Arial"/>
          <w:sz w:val="22"/>
          <w:szCs w:val="22"/>
          <w:lang w:eastAsia="de-DE"/>
        </w:rPr>
        <w:t xml:space="preserve"> – </w:t>
      </w:r>
      <w:proofErr w:type="spellStart"/>
      <w:r w:rsidRPr="00357F75">
        <w:rPr>
          <w:rFonts w:ascii="Arial" w:hAnsi="Arial" w:cs="Arial"/>
          <w:sz w:val="22"/>
          <w:szCs w:val="22"/>
          <w:lang w:eastAsia="de-DE"/>
        </w:rPr>
        <w:t>Feedipedia</w:t>
      </w:r>
      <w:proofErr w:type="spellEnd"/>
    </w:p>
    <w:p w14:paraId="59A050CC" w14:textId="77777777" w:rsidR="00F55343" w:rsidRPr="00357F75" w:rsidRDefault="00F55343" w:rsidP="00F55343">
      <w:pPr>
        <w:numPr>
          <w:ilvl w:val="1"/>
          <w:numId w:val="7"/>
        </w:numPr>
        <w:tabs>
          <w:tab w:val="num" w:pos="1440"/>
        </w:tabs>
        <w:rPr>
          <w:rFonts w:ascii="Arial" w:hAnsi="Arial" w:cs="Arial"/>
          <w:sz w:val="22"/>
          <w:szCs w:val="22"/>
          <w:lang w:eastAsia="de-DE"/>
        </w:rPr>
      </w:pPr>
      <w:proofErr w:type="spellStart"/>
      <w:r w:rsidRPr="00357F75">
        <w:rPr>
          <w:rFonts w:ascii="Arial" w:hAnsi="Arial" w:cs="Arial"/>
          <w:sz w:val="22"/>
          <w:szCs w:val="22"/>
          <w:lang w:eastAsia="de-DE"/>
        </w:rPr>
        <w:t>Soybean</w:t>
      </w:r>
      <w:proofErr w:type="spellEnd"/>
      <w:r w:rsidRPr="00357F75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357F75">
        <w:rPr>
          <w:rFonts w:ascii="Arial" w:hAnsi="Arial" w:cs="Arial"/>
          <w:sz w:val="22"/>
          <w:szCs w:val="22"/>
          <w:lang w:eastAsia="de-DE"/>
        </w:rPr>
        <w:t>meal</w:t>
      </w:r>
      <w:proofErr w:type="spellEnd"/>
      <w:r w:rsidRPr="00357F75">
        <w:rPr>
          <w:rFonts w:ascii="Arial" w:hAnsi="Arial" w:cs="Arial"/>
          <w:sz w:val="22"/>
          <w:szCs w:val="22"/>
          <w:lang w:eastAsia="de-DE"/>
        </w:rPr>
        <w:t xml:space="preserve"> – </w:t>
      </w:r>
      <w:proofErr w:type="spellStart"/>
      <w:r w:rsidRPr="00357F75">
        <w:rPr>
          <w:rFonts w:ascii="Arial" w:hAnsi="Arial" w:cs="Arial"/>
          <w:sz w:val="22"/>
          <w:szCs w:val="22"/>
          <w:lang w:eastAsia="de-DE"/>
        </w:rPr>
        <w:t>Feedipedia</w:t>
      </w:r>
      <w:proofErr w:type="spellEnd"/>
    </w:p>
    <w:p w14:paraId="764885D6" w14:textId="77777777" w:rsidR="00F55343" w:rsidRPr="00357F75" w:rsidRDefault="00F55343" w:rsidP="00F55343">
      <w:pPr>
        <w:numPr>
          <w:ilvl w:val="1"/>
          <w:numId w:val="7"/>
        </w:numPr>
        <w:tabs>
          <w:tab w:val="num" w:pos="1440"/>
        </w:tabs>
        <w:rPr>
          <w:rFonts w:ascii="Arial" w:hAnsi="Arial" w:cs="Arial"/>
          <w:sz w:val="22"/>
          <w:szCs w:val="22"/>
          <w:lang w:eastAsia="de-DE"/>
        </w:rPr>
      </w:pPr>
      <w:proofErr w:type="spellStart"/>
      <w:r w:rsidRPr="00357F75">
        <w:rPr>
          <w:rFonts w:ascii="Arial" w:hAnsi="Arial" w:cs="Arial"/>
          <w:sz w:val="22"/>
          <w:szCs w:val="22"/>
          <w:lang w:eastAsia="de-DE"/>
        </w:rPr>
        <w:t>Rapeseed</w:t>
      </w:r>
      <w:proofErr w:type="spellEnd"/>
      <w:r w:rsidRPr="00357F75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357F75">
        <w:rPr>
          <w:rFonts w:ascii="Arial" w:hAnsi="Arial" w:cs="Arial"/>
          <w:sz w:val="22"/>
          <w:szCs w:val="22"/>
          <w:lang w:eastAsia="de-DE"/>
        </w:rPr>
        <w:t>meal</w:t>
      </w:r>
      <w:proofErr w:type="spellEnd"/>
      <w:r w:rsidRPr="00357F75">
        <w:rPr>
          <w:rFonts w:ascii="Arial" w:hAnsi="Arial" w:cs="Arial"/>
          <w:sz w:val="22"/>
          <w:szCs w:val="22"/>
          <w:lang w:eastAsia="de-DE"/>
        </w:rPr>
        <w:t xml:space="preserve"> – </w:t>
      </w:r>
      <w:proofErr w:type="spellStart"/>
      <w:r w:rsidRPr="00357F75">
        <w:rPr>
          <w:rFonts w:ascii="Arial" w:hAnsi="Arial" w:cs="Arial"/>
          <w:sz w:val="22"/>
          <w:szCs w:val="22"/>
          <w:lang w:eastAsia="de-DE"/>
        </w:rPr>
        <w:t>Feedipedia</w:t>
      </w:r>
      <w:proofErr w:type="spellEnd"/>
    </w:p>
    <w:p w14:paraId="574359E1" w14:textId="77777777" w:rsidR="00F55343" w:rsidRPr="00357F75" w:rsidRDefault="00F55343" w:rsidP="00F55343">
      <w:pPr>
        <w:numPr>
          <w:ilvl w:val="0"/>
          <w:numId w:val="7"/>
        </w:numPr>
        <w:tabs>
          <w:tab w:val="num" w:pos="720"/>
        </w:tabs>
        <w:rPr>
          <w:rFonts w:ascii="Arial" w:hAnsi="Arial" w:cs="Arial"/>
          <w:sz w:val="22"/>
          <w:szCs w:val="22"/>
          <w:lang w:eastAsia="de-DE"/>
        </w:rPr>
      </w:pPr>
      <w:r w:rsidRPr="00357F75">
        <w:rPr>
          <w:rFonts w:ascii="Arial" w:hAnsi="Arial" w:cs="Arial"/>
          <w:sz w:val="22"/>
          <w:szCs w:val="22"/>
          <w:lang w:eastAsia="de-DE"/>
        </w:rPr>
        <w:t>DLG-Futterwerttabellen Schwein (aktuelle Ausgabe, DLG-Verlag) – enthält detaillierte Nährstoff- und Fettwerte</w:t>
      </w:r>
    </w:p>
    <w:p w14:paraId="4DDBDF3C" w14:textId="77777777" w:rsidR="00F55343" w:rsidRPr="00357F75" w:rsidRDefault="00F55343" w:rsidP="00F55343">
      <w:pPr>
        <w:numPr>
          <w:ilvl w:val="0"/>
          <w:numId w:val="7"/>
        </w:numPr>
        <w:tabs>
          <w:tab w:val="num" w:pos="720"/>
        </w:tabs>
        <w:rPr>
          <w:rFonts w:ascii="Arial" w:hAnsi="Arial" w:cs="Arial"/>
          <w:sz w:val="22"/>
          <w:szCs w:val="22"/>
          <w:lang w:eastAsia="de-DE"/>
        </w:rPr>
      </w:pPr>
      <w:r w:rsidRPr="00357F75">
        <w:rPr>
          <w:rFonts w:ascii="Arial" w:hAnsi="Arial" w:cs="Arial"/>
          <w:sz w:val="22"/>
          <w:szCs w:val="22"/>
          <w:lang w:eastAsia="de-DE"/>
        </w:rPr>
        <w:t xml:space="preserve">Lehrbuch Tierernährung – </w:t>
      </w:r>
      <w:proofErr w:type="spellStart"/>
      <w:r w:rsidRPr="00357F75">
        <w:rPr>
          <w:rFonts w:ascii="Arial" w:hAnsi="Arial" w:cs="Arial"/>
          <w:sz w:val="22"/>
          <w:szCs w:val="22"/>
          <w:lang w:eastAsia="de-DE"/>
        </w:rPr>
        <w:t>Rodehutscord</w:t>
      </w:r>
      <w:proofErr w:type="spellEnd"/>
      <w:r w:rsidRPr="00357F75">
        <w:rPr>
          <w:rFonts w:ascii="Arial" w:hAnsi="Arial" w:cs="Arial"/>
          <w:sz w:val="22"/>
          <w:szCs w:val="22"/>
          <w:lang w:eastAsia="de-DE"/>
        </w:rPr>
        <w:t xml:space="preserve"> et al.</w:t>
      </w:r>
    </w:p>
    <w:p w14:paraId="070FDA1D" w14:textId="77777777" w:rsidR="00F55343" w:rsidRPr="00357F75" w:rsidRDefault="00F55343" w:rsidP="00F55343">
      <w:pPr>
        <w:numPr>
          <w:ilvl w:val="0"/>
          <w:numId w:val="7"/>
        </w:numPr>
        <w:tabs>
          <w:tab w:val="num" w:pos="720"/>
        </w:tabs>
        <w:rPr>
          <w:rFonts w:ascii="Arial" w:hAnsi="Arial" w:cs="Arial"/>
          <w:sz w:val="22"/>
          <w:szCs w:val="22"/>
          <w:lang w:eastAsia="de-DE"/>
        </w:rPr>
      </w:pPr>
      <w:r w:rsidRPr="00357F75">
        <w:rPr>
          <w:rFonts w:ascii="Arial" w:hAnsi="Arial" w:cs="Arial"/>
          <w:sz w:val="22"/>
          <w:szCs w:val="22"/>
          <w:lang w:eastAsia="de-DE"/>
        </w:rPr>
        <w:t>Wood et al. (2008): </w:t>
      </w:r>
      <w:proofErr w:type="spellStart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>Fat</w:t>
      </w:r>
      <w:proofErr w:type="spellEnd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 xml:space="preserve"> </w:t>
      </w:r>
      <w:proofErr w:type="spellStart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>deposition</w:t>
      </w:r>
      <w:proofErr w:type="spellEnd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 xml:space="preserve"> and </w:t>
      </w:r>
      <w:proofErr w:type="spellStart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>fatty</w:t>
      </w:r>
      <w:proofErr w:type="spellEnd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 xml:space="preserve"> </w:t>
      </w:r>
      <w:proofErr w:type="spellStart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>acid</w:t>
      </w:r>
      <w:proofErr w:type="spellEnd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 xml:space="preserve"> </w:t>
      </w:r>
      <w:proofErr w:type="spellStart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>composition</w:t>
      </w:r>
      <w:proofErr w:type="spellEnd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 xml:space="preserve"> in </w:t>
      </w:r>
      <w:proofErr w:type="spellStart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>meat</w:t>
      </w:r>
      <w:proofErr w:type="spellEnd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 xml:space="preserve"> </w:t>
      </w:r>
      <w:proofErr w:type="spellStart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>animals</w:t>
      </w:r>
      <w:proofErr w:type="spellEnd"/>
      <w:r w:rsidRPr="00357F75">
        <w:rPr>
          <w:rFonts w:ascii="Arial" w:hAnsi="Arial" w:cs="Arial"/>
          <w:sz w:val="22"/>
          <w:szCs w:val="22"/>
          <w:lang w:eastAsia="de-DE"/>
        </w:rPr>
        <w:br/>
        <w:t>→ Übersicht über Fettaufnahme und Einlagerung in Bezug auf Futtermittel</w:t>
      </w:r>
    </w:p>
    <w:p w14:paraId="062F51CC" w14:textId="77777777" w:rsidR="00F55343" w:rsidRPr="00357F75" w:rsidRDefault="00F55343" w:rsidP="00F55343">
      <w:pPr>
        <w:numPr>
          <w:ilvl w:val="0"/>
          <w:numId w:val="7"/>
        </w:numPr>
        <w:tabs>
          <w:tab w:val="num" w:pos="720"/>
        </w:tabs>
        <w:rPr>
          <w:rFonts w:ascii="Arial" w:hAnsi="Arial" w:cs="Arial"/>
          <w:sz w:val="22"/>
          <w:szCs w:val="22"/>
          <w:lang w:eastAsia="de-DE"/>
        </w:rPr>
      </w:pPr>
      <w:r w:rsidRPr="00357F75">
        <w:rPr>
          <w:rFonts w:ascii="Arial" w:hAnsi="Arial" w:cs="Arial"/>
          <w:sz w:val="22"/>
          <w:szCs w:val="22"/>
          <w:lang w:eastAsia="de-DE"/>
        </w:rPr>
        <w:t>Raes et al. (2004): </w:t>
      </w:r>
      <w:proofErr w:type="spellStart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>Effect</w:t>
      </w:r>
      <w:proofErr w:type="spellEnd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 xml:space="preserve"> </w:t>
      </w:r>
      <w:proofErr w:type="spellStart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>of</w:t>
      </w:r>
      <w:proofErr w:type="spellEnd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 xml:space="preserve"> </w:t>
      </w:r>
      <w:proofErr w:type="spellStart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>dietary</w:t>
      </w:r>
      <w:proofErr w:type="spellEnd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 xml:space="preserve"> </w:t>
      </w:r>
      <w:proofErr w:type="spellStart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>fatty</w:t>
      </w:r>
      <w:proofErr w:type="spellEnd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 xml:space="preserve"> </w:t>
      </w:r>
      <w:proofErr w:type="spellStart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>acids</w:t>
      </w:r>
      <w:proofErr w:type="spellEnd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 xml:space="preserve"> on </w:t>
      </w:r>
      <w:proofErr w:type="spellStart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>fatty</w:t>
      </w:r>
      <w:proofErr w:type="spellEnd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 xml:space="preserve"> </w:t>
      </w:r>
      <w:proofErr w:type="spellStart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>acid</w:t>
      </w:r>
      <w:proofErr w:type="spellEnd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 xml:space="preserve"> </w:t>
      </w:r>
      <w:proofErr w:type="spellStart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>composition</w:t>
      </w:r>
      <w:proofErr w:type="spellEnd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 xml:space="preserve"> in </w:t>
      </w:r>
      <w:proofErr w:type="spellStart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>animal</w:t>
      </w:r>
      <w:proofErr w:type="spellEnd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 xml:space="preserve"> </w:t>
      </w:r>
      <w:proofErr w:type="spellStart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>tissues</w:t>
      </w:r>
      <w:proofErr w:type="spellEnd"/>
    </w:p>
    <w:p w14:paraId="6061A89E" w14:textId="77777777" w:rsidR="00F55343" w:rsidRPr="00357F75" w:rsidRDefault="00F55343" w:rsidP="00F55343">
      <w:pPr>
        <w:numPr>
          <w:ilvl w:val="0"/>
          <w:numId w:val="7"/>
        </w:numPr>
        <w:tabs>
          <w:tab w:val="num" w:pos="720"/>
        </w:tabs>
        <w:rPr>
          <w:rFonts w:ascii="Arial" w:hAnsi="Arial" w:cs="Arial"/>
          <w:sz w:val="22"/>
          <w:szCs w:val="22"/>
          <w:lang w:eastAsia="de-DE"/>
        </w:rPr>
      </w:pPr>
      <w:r w:rsidRPr="00357F75">
        <w:rPr>
          <w:rFonts w:ascii="Arial" w:hAnsi="Arial" w:cs="Arial"/>
          <w:sz w:val="22"/>
          <w:szCs w:val="22"/>
          <w:lang w:eastAsia="de-DE"/>
        </w:rPr>
        <w:t>NRC (National Research Council, 2012) – </w:t>
      </w:r>
      <w:proofErr w:type="spellStart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>Nutrient</w:t>
      </w:r>
      <w:proofErr w:type="spellEnd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 xml:space="preserve"> </w:t>
      </w:r>
      <w:proofErr w:type="spellStart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>Requirements</w:t>
      </w:r>
      <w:proofErr w:type="spellEnd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 xml:space="preserve"> </w:t>
      </w:r>
      <w:proofErr w:type="spellStart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>of</w:t>
      </w:r>
      <w:proofErr w:type="spellEnd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 xml:space="preserve"> </w:t>
      </w:r>
      <w:proofErr w:type="spellStart"/>
      <w:r w:rsidRPr="00357F75">
        <w:rPr>
          <w:rFonts w:ascii="Arial" w:hAnsi="Arial" w:cs="Arial"/>
          <w:i/>
          <w:iCs/>
          <w:sz w:val="22"/>
          <w:szCs w:val="22"/>
          <w:lang w:eastAsia="de-DE"/>
        </w:rPr>
        <w:t>Swine</w:t>
      </w:r>
      <w:proofErr w:type="spellEnd"/>
      <w:r w:rsidRPr="00357F75">
        <w:rPr>
          <w:rFonts w:ascii="Arial" w:hAnsi="Arial" w:cs="Arial"/>
          <w:sz w:val="22"/>
          <w:szCs w:val="22"/>
          <w:lang w:eastAsia="de-DE"/>
        </w:rPr>
        <w:t>, USA – ebenfalls ein Standardwerk</w:t>
      </w:r>
    </w:p>
    <w:p w14:paraId="0199A402" w14:textId="77777777" w:rsidR="00E47FC1" w:rsidRPr="00357F75" w:rsidRDefault="00E47FC1">
      <w:pPr>
        <w:rPr>
          <w:rFonts w:ascii="Arial" w:hAnsi="Arial" w:cs="Arial"/>
          <w:sz w:val="22"/>
          <w:szCs w:val="22"/>
          <w:lang w:eastAsia="de-DE"/>
        </w:rPr>
      </w:pPr>
    </w:p>
    <w:p w14:paraId="695816FE" w14:textId="77777777" w:rsidR="00E47FC1" w:rsidRPr="00357F75" w:rsidRDefault="00E47FC1">
      <w:pPr>
        <w:rPr>
          <w:rFonts w:ascii="Arial" w:hAnsi="Arial" w:cs="Arial"/>
          <w:sz w:val="22"/>
          <w:szCs w:val="22"/>
          <w:lang w:eastAsia="de-DE"/>
        </w:rPr>
      </w:pPr>
    </w:p>
    <w:p w14:paraId="61736793" w14:textId="43DB5C61" w:rsidR="008A7D0F" w:rsidRPr="00357F75" w:rsidRDefault="008A7D0F" w:rsidP="003E4EA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B5E8626" w14:textId="77777777" w:rsidR="001F7B2F" w:rsidRPr="00357F75" w:rsidRDefault="001F7B2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1F7B2F" w:rsidRPr="00357F75" w:rsidSect="00131484">
      <w:headerReference w:type="default" r:id="rId10"/>
      <w:pgSz w:w="11906" w:h="16838"/>
      <w:pgMar w:top="851" w:right="851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A6133" w14:textId="77777777" w:rsidR="00C3499B" w:rsidRDefault="00C3499B" w:rsidP="00131484">
      <w:r>
        <w:separator/>
      </w:r>
    </w:p>
  </w:endnote>
  <w:endnote w:type="continuationSeparator" w:id="0">
    <w:p w14:paraId="71966A25" w14:textId="77777777" w:rsidR="00C3499B" w:rsidRDefault="00C3499B" w:rsidP="0013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98C81" w14:textId="77777777" w:rsidR="00C3499B" w:rsidRDefault="00C3499B" w:rsidP="00131484">
      <w:r>
        <w:separator/>
      </w:r>
    </w:p>
  </w:footnote>
  <w:footnote w:type="continuationSeparator" w:id="0">
    <w:p w14:paraId="01A02BF6" w14:textId="77777777" w:rsidR="00C3499B" w:rsidRDefault="00C3499B" w:rsidP="00131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7" w:type="dxa"/>
      <w:tblInd w:w="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3"/>
      <w:gridCol w:w="7087"/>
      <w:gridCol w:w="927"/>
    </w:tblGrid>
    <w:tr w:rsidR="00131484" w:rsidRPr="00E04EF0" w14:paraId="47ED8218" w14:textId="77777777" w:rsidTr="00840F93">
      <w:trPr>
        <w:cantSplit/>
        <w:trHeight w:hRule="exact" w:val="680"/>
      </w:trPr>
      <w:tc>
        <w:tcPr>
          <w:tcW w:w="1483" w:type="dxa"/>
          <w:vMerge w:val="restart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</w:tcPr>
        <w:p w14:paraId="60851DF8" w14:textId="1EB5589C" w:rsidR="00131484" w:rsidRPr="00E04EF0" w:rsidRDefault="00131484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E04EF0">
            <w:rPr>
              <w:rFonts w:ascii="Arial" w:hAnsi="Arial" w:cs="Arial"/>
              <w:bCs/>
              <w:i/>
              <w:sz w:val="22"/>
              <w:szCs w:val="22"/>
            </w:rPr>
            <w:t>SCHUL</w:t>
          </w:r>
          <w:r w:rsidR="00E04EF0">
            <w:rPr>
              <w:rFonts w:ascii="Arial" w:hAnsi="Arial" w:cs="Arial"/>
              <w:bCs/>
              <w:i/>
              <w:sz w:val="22"/>
              <w:szCs w:val="22"/>
            </w:rPr>
            <w:t>-</w:t>
          </w:r>
          <w:r w:rsidRPr="00E04EF0">
            <w:rPr>
              <w:rFonts w:ascii="Arial" w:hAnsi="Arial" w:cs="Arial"/>
              <w:bCs/>
              <w:i/>
              <w:sz w:val="22"/>
              <w:szCs w:val="22"/>
            </w:rPr>
            <w:t>LOGO</w:t>
          </w:r>
        </w:p>
      </w:tc>
      <w:tc>
        <w:tcPr>
          <w:tcW w:w="708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6DDB9DDD" w14:textId="5419E7E6" w:rsidR="00131484" w:rsidRPr="00E04EF0" w:rsidRDefault="00B15A40" w:rsidP="00131484">
          <w:pPr>
            <w:pStyle w:val="Kopfzeile"/>
            <w:rPr>
              <w:rFonts w:ascii="Arial" w:hAnsi="Arial" w:cs="Arial"/>
              <w:b/>
              <w:bCs/>
              <w:sz w:val="22"/>
              <w:szCs w:val="22"/>
            </w:rPr>
          </w:pPr>
          <w:r w:rsidRPr="00E04EF0">
            <w:rPr>
              <w:rFonts w:ascii="Arial" w:hAnsi="Arial" w:cs="Arial"/>
              <w:b/>
              <w:bCs/>
              <w:sz w:val="22"/>
              <w:szCs w:val="22"/>
            </w:rPr>
            <w:t>Qualitativ hochwertiges Fleisch erzeugen</w:t>
          </w:r>
        </w:p>
      </w:tc>
      <w:tc>
        <w:tcPr>
          <w:tcW w:w="92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1D442145" w14:textId="77777777" w:rsidR="00131484" w:rsidRPr="00E04EF0" w:rsidRDefault="00131484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E04EF0">
            <w:rPr>
              <w:rFonts w:ascii="Arial" w:hAnsi="Arial" w:cs="Arial"/>
              <w:bCs/>
              <w:i/>
              <w:sz w:val="22"/>
              <w:szCs w:val="22"/>
            </w:rPr>
            <w:t>LS Nr.</w:t>
          </w:r>
        </w:p>
        <w:p w14:paraId="59BD22D1" w14:textId="3999DD2B" w:rsidR="00131484" w:rsidRPr="00E04EF0" w:rsidRDefault="00B15A40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E04EF0">
            <w:rPr>
              <w:rFonts w:ascii="Arial" w:hAnsi="Arial" w:cs="Arial"/>
              <w:bCs/>
              <w:i/>
              <w:sz w:val="22"/>
              <w:szCs w:val="22"/>
            </w:rPr>
            <w:t>9</w:t>
          </w:r>
          <w:r w:rsidR="00131484" w:rsidRPr="00E04EF0">
            <w:rPr>
              <w:rFonts w:ascii="Arial" w:hAnsi="Arial" w:cs="Arial"/>
              <w:bCs/>
              <w:i/>
              <w:sz w:val="22"/>
              <w:szCs w:val="22"/>
            </w:rPr>
            <w:t>.1</w:t>
          </w:r>
        </w:p>
      </w:tc>
    </w:tr>
    <w:tr w:rsidR="00131484" w:rsidRPr="00E04EF0" w14:paraId="1FC726A3" w14:textId="77777777" w:rsidTr="00840F93">
      <w:trPr>
        <w:cantSplit/>
        <w:trHeight w:hRule="exact" w:val="745"/>
      </w:trPr>
      <w:tc>
        <w:tcPr>
          <w:tcW w:w="1483" w:type="dxa"/>
          <w:vMerge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</w:tcPr>
        <w:p w14:paraId="7DA4A835" w14:textId="77777777" w:rsidR="00131484" w:rsidRPr="00E04EF0" w:rsidRDefault="00131484" w:rsidP="00131484">
          <w:pPr>
            <w:widowControl w:val="0"/>
            <w:rPr>
              <w:rFonts w:ascii="Arial" w:hAnsi="Arial" w:cs="Arial"/>
              <w:sz w:val="22"/>
              <w:szCs w:val="22"/>
              <w:lang w:eastAsia="zh-CN" w:bidi="hi-IN"/>
            </w:rPr>
          </w:pPr>
        </w:p>
      </w:tc>
      <w:tc>
        <w:tcPr>
          <w:tcW w:w="708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0D60320" w14:textId="519DBD85" w:rsidR="00131484" w:rsidRPr="00E04EF0" w:rsidRDefault="00934E38" w:rsidP="00131484">
          <w:pPr>
            <w:pStyle w:val="Kopfzeile"/>
            <w:rPr>
              <w:rFonts w:ascii="Arial" w:hAnsi="Arial" w:cs="Arial"/>
              <w:b/>
              <w:bCs/>
              <w:sz w:val="22"/>
              <w:szCs w:val="22"/>
            </w:rPr>
          </w:pPr>
          <w:r w:rsidRPr="00E04EF0">
            <w:rPr>
              <w:rFonts w:ascii="Arial" w:hAnsi="Arial" w:cs="Arial"/>
              <w:b/>
              <w:bCs/>
              <w:sz w:val="22"/>
              <w:szCs w:val="22"/>
            </w:rPr>
            <w:t>Fettqualität</w:t>
          </w:r>
        </w:p>
      </w:tc>
      <w:tc>
        <w:tcPr>
          <w:tcW w:w="92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1D429E7F" w14:textId="04E3C2A6" w:rsidR="00131484" w:rsidRPr="00E04EF0" w:rsidRDefault="00131484" w:rsidP="00131484">
          <w:pPr>
            <w:pStyle w:val="Kopfzeile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E04EF0">
            <w:rPr>
              <w:rFonts w:ascii="Arial" w:hAnsi="Arial" w:cs="Arial"/>
              <w:b/>
              <w:bCs/>
              <w:sz w:val="22"/>
              <w:szCs w:val="22"/>
            </w:rPr>
            <w:t>M0</w:t>
          </w:r>
          <w:r w:rsidR="00E04EF0" w:rsidRPr="00E04EF0">
            <w:rPr>
              <w:rFonts w:ascii="Arial" w:hAnsi="Arial" w:cs="Arial"/>
              <w:b/>
              <w:bCs/>
              <w:sz w:val="22"/>
              <w:szCs w:val="22"/>
            </w:rPr>
            <w:t>2</w:t>
          </w:r>
        </w:p>
      </w:tc>
    </w:tr>
  </w:tbl>
  <w:p w14:paraId="6081001F" w14:textId="77777777" w:rsidR="00131484" w:rsidRPr="00E04EF0" w:rsidRDefault="00131484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51F2"/>
    <w:multiLevelType w:val="hybridMultilevel"/>
    <w:tmpl w:val="9A0C28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EA405B"/>
    <w:multiLevelType w:val="multilevel"/>
    <w:tmpl w:val="585E73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49D52D3B"/>
    <w:multiLevelType w:val="hybridMultilevel"/>
    <w:tmpl w:val="249CFDC8"/>
    <w:lvl w:ilvl="0" w:tplc="25BC15AE">
      <w:start w:val="30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4E6B91"/>
    <w:multiLevelType w:val="hybridMultilevel"/>
    <w:tmpl w:val="F1AA87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FB4DB1"/>
    <w:multiLevelType w:val="hybridMultilevel"/>
    <w:tmpl w:val="82625F82"/>
    <w:lvl w:ilvl="0" w:tplc="4466866C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DD20BC"/>
    <w:multiLevelType w:val="hybridMultilevel"/>
    <w:tmpl w:val="FE92BA30"/>
    <w:lvl w:ilvl="0" w:tplc="E584B812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0C669B"/>
    <w:multiLevelType w:val="multilevel"/>
    <w:tmpl w:val="0E7A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3A2DBC"/>
    <w:multiLevelType w:val="hybridMultilevel"/>
    <w:tmpl w:val="E0CA5C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484"/>
    <w:rsid w:val="000A7CA2"/>
    <w:rsid w:val="000F6A28"/>
    <w:rsid w:val="00120B2E"/>
    <w:rsid w:val="00131484"/>
    <w:rsid w:val="00185202"/>
    <w:rsid w:val="00193FBA"/>
    <w:rsid w:val="001A4766"/>
    <w:rsid w:val="001E3046"/>
    <w:rsid w:val="001F7B2F"/>
    <w:rsid w:val="002215C9"/>
    <w:rsid w:val="00227AD3"/>
    <w:rsid w:val="002372AE"/>
    <w:rsid w:val="002A13D0"/>
    <w:rsid w:val="002A25DE"/>
    <w:rsid w:val="002E22B7"/>
    <w:rsid w:val="003008D6"/>
    <w:rsid w:val="00311F42"/>
    <w:rsid w:val="00332E4D"/>
    <w:rsid w:val="00337497"/>
    <w:rsid w:val="003413F3"/>
    <w:rsid w:val="00357F75"/>
    <w:rsid w:val="00390BFE"/>
    <w:rsid w:val="003D4B6D"/>
    <w:rsid w:val="003E3959"/>
    <w:rsid w:val="003E4EAE"/>
    <w:rsid w:val="00421A90"/>
    <w:rsid w:val="00430139"/>
    <w:rsid w:val="0043173C"/>
    <w:rsid w:val="00445C8F"/>
    <w:rsid w:val="00477E58"/>
    <w:rsid w:val="00494260"/>
    <w:rsid w:val="004C039A"/>
    <w:rsid w:val="00513A75"/>
    <w:rsid w:val="00530870"/>
    <w:rsid w:val="005333DA"/>
    <w:rsid w:val="00564E00"/>
    <w:rsid w:val="005C1A2B"/>
    <w:rsid w:val="005C63F3"/>
    <w:rsid w:val="005C7BAA"/>
    <w:rsid w:val="0064472D"/>
    <w:rsid w:val="007025A8"/>
    <w:rsid w:val="007B23EA"/>
    <w:rsid w:val="007C1C57"/>
    <w:rsid w:val="007E218B"/>
    <w:rsid w:val="007E783F"/>
    <w:rsid w:val="00812F16"/>
    <w:rsid w:val="008A3E51"/>
    <w:rsid w:val="008A7D0F"/>
    <w:rsid w:val="008C4888"/>
    <w:rsid w:val="008D0936"/>
    <w:rsid w:val="008D1FD1"/>
    <w:rsid w:val="00904713"/>
    <w:rsid w:val="00916713"/>
    <w:rsid w:val="00934E38"/>
    <w:rsid w:val="009650AD"/>
    <w:rsid w:val="00967374"/>
    <w:rsid w:val="009B0B43"/>
    <w:rsid w:val="00A14D3F"/>
    <w:rsid w:val="00A23FDA"/>
    <w:rsid w:val="00A245C7"/>
    <w:rsid w:val="00A41D06"/>
    <w:rsid w:val="00A85F6C"/>
    <w:rsid w:val="00AD13D1"/>
    <w:rsid w:val="00AF51D2"/>
    <w:rsid w:val="00B15A40"/>
    <w:rsid w:val="00BB38DC"/>
    <w:rsid w:val="00BF4C43"/>
    <w:rsid w:val="00C20754"/>
    <w:rsid w:val="00C3499B"/>
    <w:rsid w:val="00C7136C"/>
    <w:rsid w:val="00C803C1"/>
    <w:rsid w:val="00C95383"/>
    <w:rsid w:val="00CC1C38"/>
    <w:rsid w:val="00CE48E2"/>
    <w:rsid w:val="00DB1855"/>
    <w:rsid w:val="00DC097F"/>
    <w:rsid w:val="00DC49C6"/>
    <w:rsid w:val="00DD0119"/>
    <w:rsid w:val="00E04EF0"/>
    <w:rsid w:val="00E14EC4"/>
    <w:rsid w:val="00E26E7F"/>
    <w:rsid w:val="00E47FC1"/>
    <w:rsid w:val="00E57484"/>
    <w:rsid w:val="00E87C0C"/>
    <w:rsid w:val="00F038E5"/>
    <w:rsid w:val="00F305C2"/>
    <w:rsid w:val="00F55343"/>
    <w:rsid w:val="00F56385"/>
    <w:rsid w:val="00F6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F2F70C"/>
  <w15:chartTrackingRefBased/>
  <w15:docId w15:val="{E3CD3780-D271-43E7-9AB0-1C694FA5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314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314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314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314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314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314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314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314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314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314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314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314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3148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3148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3148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3148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3148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3148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314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314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3148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314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314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31484"/>
    <w:rPr>
      <w:i/>
      <w:iCs/>
      <w:color w:val="404040" w:themeColor="text1" w:themeTint="BF"/>
    </w:rPr>
  </w:style>
  <w:style w:type="paragraph" w:styleId="Listenabsatz">
    <w:name w:val="List Paragraph"/>
    <w:basedOn w:val="Standard"/>
    <w:qFormat/>
    <w:rsid w:val="0013148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3148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314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3148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3148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13148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1484"/>
  </w:style>
  <w:style w:type="paragraph" w:styleId="Fuzeile">
    <w:name w:val="footer"/>
    <w:basedOn w:val="Standard"/>
    <w:link w:val="FuzeileZchn"/>
    <w:uiPriority w:val="99"/>
    <w:unhideWhenUsed/>
    <w:rsid w:val="0013148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1484"/>
  </w:style>
  <w:style w:type="character" w:styleId="Hyperlink">
    <w:name w:val="Hyperlink"/>
    <w:basedOn w:val="Absatz-Standardschriftart"/>
    <w:uiPriority w:val="99"/>
    <w:unhideWhenUsed/>
    <w:rsid w:val="005333DA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333DA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26E7F"/>
    <w:rPr>
      <w:color w:val="96607D" w:themeColor="followedHyperlink"/>
      <w:u w:val="single"/>
    </w:rPr>
  </w:style>
  <w:style w:type="character" w:customStyle="1" w:styleId="apple-converted-space">
    <w:name w:val="apple-converted-space"/>
    <w:basedOn w:val="Absatz-Standardschriftart"/>
    <w:rsid w:val="00E47FC1"/>
  </w:style>
  <w:style w:type="character" w:styleId="Fett">
    <w:name w:val="Strong"/>
    <w:basedOn w:val="Absatz-Standardschriftart"/>
    <w:uiPriority w:val="22"/>
    <w:qFormat/>
    <w:rsid w:val="00E47FC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47FC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table" w:styleId="EinfacheTabelle3">
    <w:name w:val="Plain Table 3"/>
    <w:basedOn w:val="NormaleTabelle"/>
    <w:uiPriority w:val="43"/>
    <w:rsid w:val="0033749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EinfacheTabelle5">
    <w:name w:val="Plain Table 5"/>
    <w:basedOn w:val="NormaleTabelle"/>
    <w:uiPriority w:val="45"/>
    <w:rsid w:val="0033749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EinfacheTabelle4">
    <w:name w:val="Plain Table 4"/>
    <w:basedOn w:val="NormaleTabelle"/>
    <w:uiPriority w:val="44"/>
    <w:rsid w:val="0033749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2">
    <w:name w:val="Plain Table 2"/>
    <w:basedOn w:val="NormaleTabelle"/>
    <w:uiPriority w:val="42"/>
    <w:rsid w:val="0033749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8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4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03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2817</Characters>
  <Application>Microsoft Office Word</Application>
  <DocSecurity>0</DocSecurity>
  <Lines>140</Lines>
  <Paragraphs>77</Paragraphs>
  <ScaleCrop>false</ScaleCrop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K541 des Niedersächsischen Kultusministeriums</dc:creator>
  <cp:keywords/>
  <dc:description/>
  <cp:lastModifiedBy>Bodenstedt, Christian (NLQ)</cp:lastModifiedBy>
  <cp:revision>2</cp:revision>
  <dcterms:created xsi:type="dcterms:W3CDTF">2025-08-26T13:49:00Z</dcterms:created>
  <dcterms:modified xsi:type="dcterms:W3CDTF">2025-08-26T13:49:00Z</dcterms:modified>
</cp:coreProperties>
</file>